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Default="00C65415" w:rsidP="00C65415">
      <w:pPr>
        <w:pStyle w:val="Head"/>
      </w:pPr>
      <w:r>
        <w:t>Benninghoven | Future trend: reduced-temperature asphalt</w:t>
      </w:r>
    </w:p>
    <w:p w14:paraId="7205B778" w14:textId="3368C3D3" w:rsidR="00C65415" w:rsidRPr="00C65415" w:rsidRDefault="00842725" w:rsidP="00C65415">
      <w:pPr>
        <w:pStyle w:val="Subhead"/>
      </w:pPr>
      <w:r>
        <w:t>Substantial energy reduction</w:t>
      </w:r>
    </w:p>
    <w:p w14:paraId="28ED05A3" w14:textId="77777777" w:rsidR="00C97562" w:rsidRDefault="00C97562" w:rsidP="00C65415">
      <w:pPr>
        <w:pStyle w:val="Teaser"/>
        <w:rPr>
          <w:rStyle w:val="Fett"/>
          <w:b/>
          <w:bCs w:val="0"/>
        </w:rPr>
      </w:pPr>
      <w:r>
        <w:rPr>
          <w:rStyle w:val="Fett"/>
          <w:b/>
        </w:rPr>
        <w:t xml:space="preserve">The production of reduced-temperature asphalt, which is also known as low-temperature asphalt, warm asphalt or warm mix, is nothing new – the process was already tested back in the 1990s. Today, when road construction authorities are also focusing on issues such as CO2 balance, protecting resources and reducing the energy input, everyone is talking about reduced-temperature asphalt. </w:t>
      </w:r>
    </w:p>
    <w:p w14:paraId="7F235EC0" w14:textId="4781689D" w:rsidR="00F91A83" w:rsidRDefault="00C97562" w:rsidP="00A85D50">
      <w:pPr>
        <w:pStyle w:val="Standardabsatz"/>
      </w:pPr>
      <w:r>
        <w:t>Asphalt mixing plants from Benninghoven are in use all over the world and they are proof that high standards with regard to the quality of the mixture and economic efficiency along with climate and health and safety requirements can all be perfectly combined.</w:t>
      </w:r>
    </w:p>
    <w:p w14:paraId="206202FD" w14:textId="77777777" w:rsidR="00585572" w:rsidRDefault="00585572" w:rsidP="00585572">
      <w:pPr>
        <w:pStyle w:val="Standardabsatz"/>
        <w:spacing w:after="0"/>
        <w:rPr>
          <w:rFonts w:cs="Times New Roman (Textkörper CS)"/>
          <w:b/>
          <w:shd w:val="clear" w:color="auto" w:fill="FFFFFF"/>
        </w:rPr>
      </w:pPr>
      <w:r>
        <w:rPr>
          <w:b/>
          <w:shd w:val="clear" w:color="auto" w:fill="FFFFFF"/>
        </w:rPr>
        <w:t xml:space="preserve">What is reduced-temperature asphalt? </w:t>
      </w:r>
    </w:p>
    <w:p w14:paraId="06737588" w14:textId="39323064" w:rsidR="00463E18" w:rsidRDefault="0068668C" w:rsidP="00585572">
      <w:pPr>
        <w:pStyle w:val="Standardabsatz"/>
        <w:spacing w:after="0"/>
        <w:rPr>
          <w:shd w:val="clear" w:color="auto" w:fill="FFFFFF"/>
        </w:rPr>
      </w:pPr>
      <w:r>
        <w:rPr>
          <w:shd w:val="clear" w:color="auto" w:fill="FFFFFF"/>
        </w:rPr>
        <w:t>Reduced-temperature asphalt is a mixture produced at a temperature between 110 °C and 130 °C. Hot asphalt, on the other hand, is typically produced between 140 and 180 °C – usually with bitumen at 160 °C as a binder. One advantage: The reduced-temperature mixtures can be conveniently produced and processed in the conventional manner.</w:t>
      </w:r>
    </w:p>
    <w:p w14:paraId="3FD7988D" w14:textId="77777777" w:rsidR="00585572" w:rsidRDefault="00585572" w:rsidP="00585572">
      <w:pPr>
        <w:pStyle w:val="Standardabsatz"/>
        <w:spacing w:after="0"/>
        <w:rPr>
          <w:shd w:val="clear" w:color="auto" w:fill="FFFFFF"/>
          <w:lang w:eastAsia="de-DE"/>
        </w:rPr>
      </w:pPr>
    </w:p>
    <w:p w14:paraId="7AD71F8E" w14:textId="4B02F4CD" w:rsidR="00F91A83" w:rsidRDefault="00F91A83" w:rsidP="00F91A83">
      <w:pPr>
        <w:pStyle w:val="Teaserhead"/>
      </w:pPr>
      <w:r>
        <w:t>Reducing the bitumen viscosity</w:t>
      </w:r>
    </w:p>
    <w:p w14:paraId="6EC5261A" w14:textId="2FC3C958" w:rsidR="00F91A83" w:rsidRDefault="00F91A83" w:rsidP="00F91A83">
      <w:pPr>
        <w:pStyle w:val="Standardabsatz"/>
      </w:pPr>
      <w:r>
        <w:t xml:space="preserve">The bitumen requires a temperature of at least around 140 °C to achieve good wetting and coating of the aggregates in the mixer. Below this temperature, it remains too viscous. To lower the temperature during asphalt production, the bitumen viscosity has to be reduced temporarily. This is achieved by adding water (foam bitumen) or additives. When the hot bitumen is mixed with water, the bitumen foams and the volume increases many times over. The increased surface area enables better wetting of the aggregates in the mixer. This means that the mineral is coated well even at a lower temperature. </w:t>
      </w:r>
    </w:p>
    <w:p w14:paraId="36683857" w14:textId="77777777" w:rsidR="00967449" w:rsidRPr="00967449" w:rsidRDefault="00967449" w:rsidP="00967449">
      <w:pPr>
        <w:rPr>
          <w:b/>
          <w:bCs/>
          <w:sz w:val="22"/>
          <w:szCs w:val="22"/>
        </w:rPr>
      </w:pPr>
      <w:r>
        <w:rPr>
          <w:b/>
          <w:sz w:val="22"/>
        </w:rPr>
        <w:t>High potential for saving energy and CO₂</w:t>
      </w:r>
    </w:p>
    <w:p w14:paraId="7E481E99" w14:textId="557751EE" w:rsidR="00967449" w:rsidRDefault="00967449" w:rsidP="00967449">
      <w:pPr>
        <w:rPr>
          <w:sz w:val="22"/>
          <w:szCs w:val="22"/>
        </w:rPr>
      </w:pPr>
      <w:r>
        <w:rPr>
          <w:sz w:val="22"/>
        </w:rPr>
        <w:t>According to the German Asphalt Association, a temperature reduction of just 30 °C results in a saving of 0.9 l of heating oil (or a fuel equivalent) per tonne of finished asphalt. With a daily production of 2,000 t of mixture, this corresponds to a saving of 1,800 l of oil or up to three quarters of the annual heating energy consumption of a home. The reduction in CO₂ emissions is 6,000 kg per day.</w:t>
      </w:r>
    </w:p>
    <w:p w14:paraId="152B40C0" w14:textId="77777777" w:rsidR="00967449" w:rsidRDefault="00967449" w:rsidP="00967449">
      <w:pPr>
        <w:rPr>
          <w:sz w:val="22"/>
          <w:szCs w:val="22"/>
        </w:rPr>
      </w:pPr>
    </w:p>
    <w:p w14:paraId="0FFAADD6" w14:textId="77777777" w:rsidR="00DE4732" w:rsidRDefault="00DE4732">
      <w:pPr>
        <w:rPr>
          <w:rFonts w:eastAsiaTheme="minorHAnsi" w:cstheme="minorBidi"/>
          <w:b/>
          <w:sz w:val="22"/>
          <w:szCs w:val="24"/>
        </w:rPr>
      </w:pPr>
      <w:r>
        <w:br w:type="page"/>
      </w:r>
    </w:p>
    <w:p w14:paraId="31412CCB" w14:textId="68A03534" w:rsidR="00E15EBE" w:rsidRDefault="00E15EBE" w:rsidP="00E15EBE">
      <w:pPr>
        <w:pStyle w:val="Fotos"/>
      </w:pPr>
      <w:r>
        <w:lastRenderedPageBreak/>
        <w:t>Photos:</w:t>
      </w:r>
    </w:p>
    <w:p w14:paraId="7110B6A0" w14:textId="0734A57B" w:rsidR="007A01D1"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Default="001D21B8" w:rsidP="001D21B8">
      <w:pPr>
        <w:rPr>
          <w:rFonts w:eastAsiaTheme="minorHAnsi" w:cstheme="minorBidi"/>
          <w:b/>
          <w:bCs/>
          <w:noProof/>
          <w:color w:val="000000"/>
          <w:sz w:val="20"/>
          <w:szCs w:val="20"/>
        </w:rPr>
      </w:pPr>
    </w:p>
    <w:p w14:paraId="520E7C97" w14:textId="7CE0CE3C" w:rsidR="007D01FA" w:rsidRDefault="007A01D1" w:rsidP="001D21B8">
      <w:pPr>
        <w:rPr>
          <w:rFonts w:eastAsiaTheme="minorHAnsi" w:cstheme="minorBidi"/>
          <w:b/>
          <w:bCs/>
          <w:noProof/>
          <w:color w:val="000000"/>
          <w:sz w:val="20"/>
          <w:szCs w:val="20"/>
        </w:rPr>
      </w:pPr>
      <w:r>
        <w:rPr>
          <w:b/>
          <w:color w:val="000000"/>
          <w:sz w:val="20"/>
        </w:rPr>
        <w:t>BE_</w:t>
      </w:r>
      <w:r w:rsidR="00560ECB" w:rsidRPr="00560ECB">
        <w:rPr>
          <w:b/>
          <w:color w:val="000000"/>
          <w:sz w:val="20"/>
        </w:rPr>
        <w:t>Low-temperature asphalt</w:t>
      </w:r>
      <w:r>
        <w:rPr>
          <w:b/>
          <w:color w:val="000000"/>
          <w:sz w:val="20"/>
        </w:rPr>
        <w:t>_01</w:t>
      </w:r>
    </w:p>
    <w:p w14:paraId="37BCC4BD" w14:textId="2A2B1698" w:rsidR="007A01D1" w:rsidRPr="001D21B8" w:rsidRDefault="007A01D1" w:rsidP="001D21B8">
      <w:pPr>
        <w:rPr>
          <w:rFonts w:eastAsiaTheme="minorHAnsi" w:cstheme="minorBidi"/>
          <w:noProof/>
          <w:color w:val="000000"/>
          <w:sz w:val="20"/>
          <w:szCs w:val="20"/>
        </w:rPr>
      </w:pPr>
      <w:r>
        <w:rPr>
          <w:color w:val="000000"/>
          <w:sz w:val="20"/>
        </w:rPr>
        <w:t>Reduced-temperature asphalt can be retrofitted to any asphalt mixing plant using Benninghoven's Plug &amp; Work principle – via the foam bitumen module or solid or liquid additive feed systems.</w:t>
      </w:r>
    </w:p>
    <w:p w14:paraId="09BD218D" w14:textId="77777777" w:rsidR="007A01D1" w:rsidRPr="00D44A7D" w:rsidRDefault="007A01D1" w:rsidP="00125239">
      <w:pPr>
        <w:pStyle w:val="Standardabsatz"/>
        <w:rPr>
          <w:sz w:val="20"/>
          <w:szCs w:val="20"/>
        </w:rPr>
      </w:pPr>
    </w:p>
    <w:p w14:paraId="35F856BC" w14:textId="2EBB34DA" w:rsidR="00707056" w:rsidRPr="001D21B8" w:rsidRDefault="007A01D1" w:rsidP="001D21B8">
      <w:pPr>
        <w:rPr>
          <w:rFonts w:eastAsiaTheme="minorHAnsi" w:cstheme="minorBidi"/>
          <w:noProof/>
          <w:color w:val="000000"/>
          <w:sz w:val="20"/>
          <w:szCs w:val="20"/>
        </w:rPr>
      </w:pPr>
      <w:r>
        <w:rPr>
          <w:noProof/>
          <w:color w:val="000000"/>
          <w:sz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Default="001D21B8" w:rsidP="001D21B8">
      <w:pPr>
        <w:rPr>
          <w:rFonts w:eastAsiaTheme="minorHAnsi" w:cstheme="minorBidi"/>
          <w:b/>
          <w:bCs/>
          <w:noProof/>
          <w:color w:val="000000"/>
          <w:sz w:val="20"/>
          <w:szCs w:val="20"/>
        </w:rPr>
      </w:pPr>
    </w:p>
    <w:p w14:paraId="3CF6F19F" w14:textId="71F665AE" w:rsidR="007D01FA" w:rsidRDefault="007A01D1" w:rsidP="001D21B8">
      <w:pPr>
        <w:rPr>
          <w:rFonts w:eastAsiaTheme="minorHAnsi" w:cstheme="minorBidi"/>
          <w:b/>
          <w:bCs/>
          <w:noProof/>
          <w:color w:val="000000"/>
          <w:sz w:val="20"/>
          <w:szCs w:val="20"/>
        </w:rPr>
      </w:pPr>
      <w:r>
        <w:rPr>
          <w:b/>
          <w:color w:val="000000"/>
          <w:sz w:val="20"/>
        </w:rPr>
        <w:t>BE_</w:t>
      </w:r>
      <w:r w:rsidR="00560ECB" w:rsidRPr="00560ECB">
        <w:rPr>
          <w:b/>
          <w:color w:val="000000"/>
          <w:sz w:val="20"/>
        </w:rPr>
        <w:t>Low-temperature asphalt</w:t>
      </w:r>
      <w:r>
        <w:rPr>
          <w:b/>
          <w:color w:val="000000"/>
          <w:sz w:val="20"/>
        </w:rPr>
        <w:t>_02</w:t>
      </w:r>
    </w:p>
    <w:p w14:paraId="348F65DB" w14:textId="5F683CF2" w:rsidR="002E3204" w:rsidRPr="001D21B8" w:rsidRDefault="002E3204" w:rsidP="001D21B8">
      <w:pPr>
        <w:rPr>
          <w:rFonts w:eastAsiaTheme="minorHAnsi" w:cstheme="minorBidi"/>
          <w:noProof/>
          <w:color w:val="000000"/>
          <w:sz w:val="20"/>
          <w:szCs w:val="20"/>
        </w:rPr>
      </w:pPr>
      <w:r>
        <w:rPr>
          <w:color w:val="000000"/>
          <w:sz w:val="20"/>
        </w:rPr>
        <w:t>Thanks to the pre-configured interfaces, the foam bitumen module can be easily connected to the mixer cabinet and the bitumen weigh hopper.</w:t>
      </w:r>
    </w:p>
    <w:p w14:paraId="6AD4F0A7" w14:textId="77777777" w:rsidR="0068668C" w:rsidRPr="00D44A7D" w:rsidRDefault="0068668C" w:rsidP="00125239">
      <w:pPr>
        <w:pStyle w:val="Standardabsatz"/>
        <w:rPr>
          <w:sz w:val="20"/>
          <w:szCs w:val="20"/>
        </w:rPr>
      </w:pPr>
    </w:p>
    <w:p w14:paraId="72BA08B1" w14:textId="5F47F6A7" w:rsidR="0068668C" w:rsidRPr="001D21B8" w:rsidRDefault="0068668C" w:rsidP="0068668C">
      <w:pPr>
        <w:rPr>
          <w:rFonts w:eastAsia="Times New Roman"/>
          <w:sz w:val="20"/>
          <w:szCs w:val="20"/>
        </w:rPr>
      </w:pPr>
      <w:r>
        <w:rPr>
          <w:noProof/>
          <w:color w:val="000000"/>
          <w:sz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Pr>
          <w:rFonts w:ascii="Times New Roman" w:hAnsi="Times New Roman"/>
          <w:sz w:val="24"/>
        </w:rPr>
        <w:t xml:space="preserve">   </w:t>
      </w:r>
      <w:r>
        <w:rPr>
          <w:noProof/>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Pr>
          <w:rFonts w:ascii="Times New Roman" w:hAnsi="Times New Roman"/>
          <w:sz w:val="24"/>
        </w:rPr>
        <w:br/>
      </w:r>
    </w:p>
    <w:p w14:paraId="17ADCDB5" w14:textId="42079348" w:rsidR="007D01FA" w:rsidRDefault="0068668C" w:rsidP="0068668C">
      <w:pPr>
        <w:pStyle w:val="BUbold"/>
      </w:pPr>
      <w:r>
        <w:t>BE_</w:t>
      </w:r>
      <w:r w:rsidR="00560ECB" w:rsidRPr="00560ECB">
        <w:rPr>
          <w:color w:val="000000"/>
        </w:rPr>
        <w:t>Low-temperature asphalt</w:t>
      </w:r>
      <w:r>
        <w:t>_03_de         BE_</w:t>
      </w:r>
      <w:r w:rsidR="00560ECB" w:rsidRPr="00560ECB">
        <w:rPr>
          <w:color w:val="000000"/>
        </w:rPr>
        <w:t>Low-temperature asphalt</w:t>
      </w:r>
      <w:r>
        <w:t>_04</w:t>
      </w:r>
    </w:p>
    <w:p w14:paraId="65EC58B2" w14:textId="3BC1DFA7" w:rsidR="0068668C" w:rsidRPr="00681CF1" w:rsidRDefault="0068668C" w:rsidP="0068668C">
      <w:pPr>
        <w:pStyle w:val="BUbold"/>
        <w:rPr>
          <w:b w:val="0"/>
          <w:bCs/>
          <w:color w:val="000000"/>
          <w:szCs w:val="20"/>
        </w:rPr>
      </w:pPr>
      <w:r>
        <w:rPr>
          <w:b w:val="0"/>
          <w:color w:val="000000"/>
        </w:rPr>
        <w:t>Example of a daily production of 2,000 t of asphalt.</w:t>
      </w:r>
    </w:p>
    <w:p w14:paraId="3713A22B" w14:textId="77777777" w:rsidR="0068668C" w:rsidRDefault="0068668C" w:rsidP="0068668C">
      <w:pPr>
        <w:pStyle w:val="BUbold"/>
        <w:rPr>
          <w:b w:val="0"/>
          <w:bCs/>
          <w:color w:val="000000"/>
          <w:szCs w:val="20"/>
        </w:rPr>
      </w:pPr>
      <w:r>
        <w:rPr>
          <w:b w:val="0"/>
          <w:color w:val="000000"/>
        </w:rPr>
        <w:t>Deutscher Asphaltverband e.V., Asphalt Leitfaden, Temperaturabgesenkte Asphalte [Asphalt Guide, Low-Temperature Asphalts – published by the German Asphalt Association].</w:t>
      </w:r>
    </w:p>
    <w:p w14:paraId="6501F3D6" w14:textId="77777777" w:rsidR="00D44A7D" w:rsidRDefault="00D44A7D">
      <w:pPr>
        <w:rPr>
          <w:rFonts w:eastAsiaTheme="minorHAnsi" w:cstheme="minorBidi"/>
          <w:i/>
          <w:color w:val="000000"/>
          <w:sz w:val="20"/>
          <w:szCs w:val="20"/>
        </w:rPr>
      </w:pPr>
      <w:r>
        <w:br w:type="page"/>
      </w:r>
    </w:p>
    <w:p w14:paraId="04824B2F" w14:textId="37A8E264" w:rsidR="00F74540" w:rsidRPr="006C0C87" w:rsidRDefault="00681CF1" w:rsidP="006C0C87">
      <w:pPr>
        <w:pStyle w:val="Note"/>
      </w:pPr>
      <w:r>
        <w:lastRenderedPageBreak/>
        <w:t>Note: These photos are intended for preview only. For printing photos in the publications, please use the photos with a resolution of 300 dpi available in the attached download.</w:t>
      </w:r>
    </w:p>
    <w:p w14:paraId="55931FB8" w14:textId="43FE3805" w:rsidR="00E15EBE" w:rsidRDefault="00E15EBE" w:rsidP="00E15EBE">
      <w:pPr>
        <w:pStyle w:val="Absatzberschrift"/>
        <w:rPr>
          <w:iCs/>
        </w:rPr>
      </w:pPr>
      <w:r>
        <w:t>More information is available from:</w:t>
      </w:r>
    </w:p>
    <w:p w14:paraId="0834BAC7" w14:textId="77777777" w:rsidR="00E15EBE" w:rsidRDefault="00E15EBE" w:rsidP="00E15EBE">
      <w:pPr>
        <w:pStyle w:val="Absatzberschrift"/>
      </w:pPr>
    </w:p>
    <w:p w14:paraId="69EE0B1B" w14:textId="77777777" w:rsidR="00E15EBE" w:rsidRPr="007D01FA" w:rsidRDefault="00E15EBE" w:rsidP="00E15EBE">
      <w:pPr>
        <w:pStyle w:val="Absatzberschrift"/>
        <w:rPr>
          <w:b w:val="0"/>
          <w:bCs/>
        </w:rPr>
      </w:pPr>
      <w:r>
        <w:rPr>
          <w:b w:val="0"/>
        </w:rPr>
        <w:t>WIRTGEN GROUP</w:t>
      </w:r>
    </w:p>
    <w:p w14:paraId="6C2CE818" w14:textId="77777777" w:rsidR="00E15EBE" w:rsidRPr="007D01FA" w:rsidRDefault="00E15EBE" w:rsidP="00E15EBE">
      <w:pPr>
        <w:pStyle w:val="Fuzeile1"/>
        <w:rPr>
          <w:iCs w:val="0"/>
          <w:szCs w:val="24"/>
        </w:rPr>
      </w:pPr>
      <w:r>
        <w:t>Public Relations</w:t>
      </w:r>
    </w:p>
    <w:p w14:paraId="11D0C008" w14:textId="77777777" w:rsidR="00E15EBE" w:rsidRPr="007D01FA" w:rsidRDefault="00E15EBE" w:rsidP="00E15EBE">
      <w:pPr>
        <w:pStyle w:val="Fuzeile1"/>
        <w:rPr>
          <w:iCs w:val="0"/>
          <w:szCs w:val="24"/>
        </w:rPr>
      </w:pPr>
      <w:r>
        <w:t>Reinhard-Wirtgen-Straße 2</w:t>
      </w:r>
    </w:p>
    <w:p w14:paraId="1063A82F" w14:textId="77777777" w:rsidR="00E15EBE" w:rsidRPr="007D01FA" w:rsidRDefault="00E15EBE" w:rsidP="00E15EBE">
      <w:pPr>
        <w:pStyle w:val="Fuzeile1"/>
        <w:rPr>
          <w:iCs w:val="0"/>
          <w:szCs w:val="24"/>
        </w:rPr>
      </w:pPr>
      <w:r>
        <w:t>53578 Windhagen</w:t>
      </w:r>
    </w:p>
    <w:p w14:paraId="5A37CC2B" w14:textId="77777777" w:rsidR="00E15EBE" w:rsidRPr="007D01FA" w:rsidRDefault="00E15EBE" w:rsidP="00E15EBE">
      <w:pPr>
        <w:pStyle w:val="Fuzeile1"/>
        <w:rPr>
          <w:iCs w:val="0"/>
          <w:szCs w:val="24"/>
        </w:rPr>
      </w:pPr>
      <w:r>
        <w:t>Germany</w:t>
      </w:r>
    </w:p>
    <w:p w14:paraId="29A07732" w14:textId="77777777" w:rsidR="00E15EBE" w:rsidRPr="007D01FA" w:rsidRDefault="00E15EBE" w:rsidP="00E15EBE">
      <w:pPr>
        <w:pStyle w:val="Fuzeile1"/>
        <w:rPr>
          <w:iCs w:val="0"/>
          <w:szCs w:val="24"/>
        </w:rPr>
      </w:pPr>
    </w:p>
    <w:p w14:paraId="0C099062" w14:textId="77777777" w:rsidR="00E15EBE" w:rsidRPr="007D01FA" w:rsidRDefault="00E15EBE" w:rsidP="00E15EBE">
      <w:pPr>
        <w:pStyle w:val="Fuzeile1"/>
        <w:rPr>
          <w:iCs w:val="0"/>
          <w:szCs w:val="24"/>
        </w:rPr>
      </w:pPr>
      <w:r>
        <w:t xml:space="preserve">Phone: +49 2645 131 - 1966 </w:t>
      </w:r>
    </w:p>
    <w:p w14:paraId="65F4C38F" w14:textId="77777777" w:rsidR="00E15EBE" w:rsidRPr="007D01FA" w:rsidRDefault="00E15EBE" w:rsidP="00E15EBE">
      <w:pPr>
        <w:pStyle w:val="Fuzeile1"/>
        <w:rPr>
          <w:iCs w:val="0"/>
          <w:szCs w:val="24"/>
        </w:rPr>
      </w:pPr>
      <w:r>
        <w:t>Fax: +49 2645 131 - 499</w:t>
      </w:r>
    </w:p>
    <w:p w14:paraId="79FF3B7C" w14:textId="7F893FEA" w:rsidR="00E15EBE" w:rsidRPr="007D01FA" w:rsidRDefault="00E15EBE" w:rsidP="00E15EBE">
      <w:pPr>
        <w:pStyle w:val="Fuzeile1"/>
        <w:rPr>
          <w:iCs w:val="0"/>
          <w:szCs w:val="24"/>
        </w:rPr>
      </w:pPr>
      <w:r>
        <w:t>Email: PR@wirtgen-group.com</w:t>
      </w:r>
    </w:p>
    <w:p w14:paraId="4F99EB86" w14:textId="77777777" w:rsidR="00E15EBE" w:rsidRPr="007D01FA" w:rsidRDefault="00E15EBE" w:rsidP="00E15EBE">
      <w:pPr>
        <w:pStyle w:val="Fuzeile1"/>
        <w:rPr>
          <w:iCs w:val="0"/>
          <w:szCs w:val="24"/>
        </w:rPr>
      </w:pPr>
    </w:p>
    <w:p w14:paraId="3D604A55" w14:textId="53BC3A5B" w:rsidR="00F048D4" w:rsidRPr="007D01FA" w:rsidRDefault="00E15EBE" w:rsidP="00F74540">
      <w:pPr>
        <w:pStyle w:val="Fuzeile1"/>
        <w:rPr>
          <w:iCs w:val="0"/>
          <w:szCs w:val="24"/>
        </w:rPr>
      </w:pPr>
      <w:r>
        <w:t>www.wirtgen-group.com</w:t>
      </w:r>
    </w:p>
    <w:sectPr w:rsidR="00F048D4" w:rsidRPr="007D01FA"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ADAF" w14:textId="77777777" w:rsidR="003F57CB" w:rsidRDefault="003F57CB" w:rsidP="00E55534">
      <w:r>
        <w:separator/>
      </w:r>
    </w:p>
  </w:endnote>
  <w:endnote w:type="continuationSeparator" w:id="0">
    <w:p w14:paraId="23D9A1D8" w14:textId="77777777" w:rsidR="003F57CB" w:rsidRDefault="003F57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Windhagen, Germany · T: +49 26 45 131-0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202D" w14:textId="77777777" w:rsidR="003F57CB" w:rsidRDefault="003F57CB" w:rsidP="00E55534">
      <w:r>
        <w:separator/>
      </w:r>
    </w:p>
  </w:footnote>
  <w:footnote w:type="continuationSeparator" w:id="0">
    <w:p w14:paraId="175ACB13" w14:textId="77777777" w:rsidR="003F57CB" w:rsidRDefault="003F57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26728770">
    <w:abstractNumId w:val="10"/>
  </w:num>
  <w:num w:numId="2" w16cid:durableId="821235709">
    <w:abstractNumId w:val="10"/>
  </w:num>
  <w:num w:numId="3" w16cid:durableId="1639454983">
    <w:abstractNumId w:val="10"/>
  </w:num>
  <w:num w:numId="4" w16cid:durableId="918908185">
    <w:abstractNumId w:val="10"/>
  </w:num>
  <w:num w:numId="5" w16cid:durableId="1923374981">
    <w:abstractNumId w:val="10"/>
  </w:num>
  <w:num w:numId="6" w16cid:durableId="2037611541">
    <w:abstractNumId w:val="2"/>
  </w:num>
  <w:num w:numId="7" w16cid:durableId="904024928">
    <w:abstractNumId w:val="2"/>
  </w:num>
  <w:num w:numId="8" w16cid:durableId="1391542590">
    <w:abstractNumId w:val="2"/>
  </w:num>
  <w:num w:numId="9" w16cid:durableId="2038316075">
    <w:abstractNumId w:val="2"/>
  </w:num>
  <w:num w:numId="10" w16cid:durableId="1351758807">
    <w:abstractNumId w:val="2"/>
  </w:num>
  <w:num w:numId="11" w16cid:durableId="27224739">
    <w:abstractNumId w:val="7"/>
  </w:num>
  <w:num w:numId="12" w16cid:durableId="1345863778">
    <w:abstractNumId w:val="7"/>
  </w:num>
  <w:num w:numId="13" w16cid:durableId="144244744">
    <w:abstractNumId w:val="4"/>
  </w:num>
  <w:num w:numId="14" w16cid:durableId="2034648304">
    <w:abstractNumId w:val="4"/>
  </w:num>
  <w:num w:numId="15" w16cid:durableId="2037152846">
    <w:abstractNumId w:val="4"/>
  </w:num>
  <w:num w:numId="16" w16cid:durableId="825517531">
    <w:abstractNumId w:val="4"/>
  </w:num>
  <w:num w:numId="17" w16cid:durableId="449671509">
    <w:abstractNumId w:val="4"/>
  </w:num>
  <w:num w:numId="18" w16cid:durableId="519397294">
    <w:abstractNumId w:val="1"/>
  </w:num>
  <w:num w:numId="19" w16cid:durableId="895314036">
    <w:abstractNumId w:val="3"/>
  </w:num>
  <w:num w:numId="20" w16cid:durableId="15349057">
    <w:abstractNumId w:val="9"/>
  </w:num>
  <w:num w:numId="21" w16cid:durableId="165217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3320665">
    <w:abstractNumId w:val="0"/>
  </w:num>
  <w:num w:numId="23" w16cid:durableId="860245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719779">
    <w:abstractNumId w:val="8"/>
  </w:num>
  <w:num w:numId="25" w16cid:durableId="213853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4718347">
    <w:abstractNumId w:val="6"/>
  </w:num>
  <w:num w:numId="27" w16cid:durableId="17527743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A7DAB"/>
    <w:rsid w:val="003B3803"/>
    <w:rsid w:val="003C2A71"/>
    <w:rsid w:val="003E1CB6"/>
    <w:rsid w:val="003E3CF6"/>
    <w:rsid w:val="003E759F"/>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B55EA"/>
    <w:rsid w:val="004C1967"/>
    <w:rsid w:val="004D23D0"/>
    <w:rsid w:val="004D2BE0"/>
    <w:rsid w:val="004E6EF5"/>
    <w:rsid w:val="004F6FBB"/>
    <w:rsid w:val="005001DF"/>
    <w:rsid w:val="00506409"/>
    <w:rsid w:val="00526EB2"/>
    <w:rsid w:val="00530E32"/>
    <w:rsid w:val="00533132"/>
    <w:rsid w:val="00537210"/>
    <w:rsid w:val="00560ECB"/>
    <w:rsid w:val="005649F4"/>
    <w:rsid w:val="005710C8"/>
    <w:rsid w:val="005711A3"/>
    <w:rsid w:val="00571A5C"/>
    <w:rsid w:val="00573B2B"/>
    <w:rsid w:val="0057504A"/>
    <w:rsid w:val="00576E80"/>
    <w:rsid w:val="005776E9"/>
    <w:rsid w:val="00585572"/>
    <w:rsid w:val="00587AD9"/>
    <w:rsid w:val="005909A8"/>
    <w:rsid w:val="00593FD1"/>
    <w:rsid w:val="005A4F04"/>
    <w:rsid w:val="005B5793"/>
    <w:rsid w:val="005C6B30"/>
    <w:rsid w:val="005C71EC"/>
    <w:rsid w:val="005E2349"/>
    <w:rsid w:val="005E273C"/>
    <w:rsid w:val="005E764C"/>
    <w:rsid w:val="005E7F7D"/>
    <w:rsid w:val="00602094"/>
    <w:rsid w:val="00604A3E"/>
    <w:rsid w:val="006063D4"/>
    <w:rsid w:val="00623910"/>
    <w:rsid w:val="00623B37"/>
    <w:rsid w:val="006330A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22A17"/>
    <w:rsid w:val="00723F4F"/>
    <w:rsid w:val="00735AF5"/>
    <w:rsid w:val="00754B80"/>
    <w:rsid w:val="00755AE0"/>
    <w:rsid w:val="0075761B"/>
    <w:rsid w:val="00757B83"/>
    <w:rsid w:val="00774358"/>
    <w:rsid w:val="00783F44"/>
    <w:rsid w:val="00791A69"/>
    <w:rsid w:val="0079462A"/>
    <w:rsid w:val="00794830"/>
    <w:rsid w:val="00797CAA"/>
    <w:rsid w:val="007A01D1"/>
    <w:rsid w:val="007A2B6F"/>
    <w:rsid w:val="007A6BD2"/>
    <w:rsid w:val="007C2658"/>
    <w:rsid w:val="007D01FA"/>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451</Words>
  <Characters>2844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Mirko Pinger | techtrans GmbH</cp:lastModifiedBy>
  <cp:revision>6</cp:revision>
  <cp:lastPrinted>2021-12-15T11:24:00Z</cp:lastPrinted>
  <dcterms:created xsi:type="dcterms:W3CDTF">2022-04-06T12:43:00Z</dcterms:created>
  <dcterms:modified xsi:type="dcterms:W3CDTF">2022-04-13T11:40:00Z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